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45" w:rsidRDefault="00BF6745" w:rsidP="00BE1AA0">
      <w:pPr>
        <w:jc w:val="center"/>
        <w:rPr>
          <w:b/>
          <w:sz w:val="24"/>
          <w:szCs w:val="24"/>
        </w:rPr>
      </w:pPr>
    </w:p>
    <w:p w:rsidR="00BE1AA0" w:rsidRPr="00BF6745" w:rsidRDefault="00DF48BF" w:rsidP="00BE1AA0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Материально-техническое обеспечение методического кабинета.</w:t>
      </w:r>
    </w:p>
    <w:bookmarkEnd w:id="0"/>
    <w:p w:rsidR="00BE1AA0" w:rsidRDefault="00BE1AA0" w:rsidP="00BE1AA0">
      <w:pPr>
        <w:ind w:firstLine="708"/>
        <w:jc w:val="both"/>
      </w:pPr>
      <w:r>
        <w:t xml:space="preserve">Не вызывает сомнений утверждение, что грамотно организованная методическая работа в дошкольном учреждении – залог успешной деятельности всего педагогического коллектива. А качество и эффективность этой работы в немалой степени зависит как от научно-методического содержания методического кабинета, так и от созданных в нем условий для повышения профессиональной компетентности педагогов, комфортных и стимулирующих к эффективному труду. </w:t>
      </w:r>
    </w:p>
    <w:p w:rsidR="008441FE" w:rsidRPr="008441FE" w:rsidRDefault="00AE586E" w:rsidP="008441FE">
      <w:pPr>
        <w:ind w:firstLine="708"/>
        <w:jc w:val="both"/>
      </w:pPr>
      <w:r>
        <w:t>Методический кабинет является центром, обеспечивающим воспитателей дошкольного образовательного учреждения необходимой информацией, средствами обучения, учебно-метод</w:t>
      </w:r>
      <w:r w:rsidR="008441FE">
        <w:t xml:space="preserve">ической литературой и пособиями, </w:t>
      </w:r>
      <w:r w:rsidR="008441FE" w:rsidRPr="008441FE">
        <w:rPr>
          <w:bCs/>
        </w:rPr>
        <w:t>в соответствии с поставленными задачами осуществляет деятельность по четырём ведущим направлениям:</w:t>
      </w:r>
    </w:p>
    <w:p w:rsidR="008441FE" w:rsidRDefault="008441FE" w:rsidP="008441FE">
      <w:pPr>
        <w:spacing w:after="0" w:line="0" w:lineRule="atLeast"/>
        <w:ind w:firstLine="709"/>
        <w:jc w:val="both"/>
        <w:rPr>
          <w:b/>
          <w:iCs/>
        </w:rPr>
      </w:pPr>
      <w:r w:rsidRPr="00BF6745">
        <w:rPr>
          <w:b/>
          <w:iCs/>
          <w:u w:val="single"/>
        </w:rPr>
        <w:t>Научно-методическая деятельность</w:t>
      </w:r>
      <w:r w:rsidRPr="007B3F13">
        <w:rPr>
          <w:b/>
          <w:iCs/>
        </w:rPr>
        <w:t>:</w:t>
      </w:r>
    </w:p>
    <w:p w:rsidR="00BF6745" w:rsidRPr="007B3F13" w:rsidRDefault="00BF6745" w:rsidP="008441FE">
      <w:pPr>
        <w:spacing w:after="0" w:line="0" w:lineRule="atLeast"/>
        <w:ind w:firstLine="709"/>
        <w:jc w:val="both"/>
        <w:rPr>
          <w:b/>
        </w:rPr>
      </w:pP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Выявление, изучение и обобщение на технологическом уровне педагогического опыта.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Организация обучения</w:t>
      </w:r>
      <w:r>
        <w:t xml:space="preserve">, проведение лекций, семинаров </w:t>
      </w:r>
      <w:r w:rsidRPr="008441FE">
        <w:t xml:space="preserve">для </w:t>
      </w:r>
      <w:r>
        <w:t>педагогов</w:t>
      </w:r>
      <w:r w:rsidRPr="008441FE">
        <w:t xml:space="preserve"> 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 xml:space="preserve">Организация </w:t>
      </w:r>
      <w:r>
        <w:t>подготовки</w:t>
      </w:r>
      <w:r w:rsidRPr="008441FE">
        <w:t xml:space="preserve"> </w:t>
      </w:r>
      <w:r>
        <w:t xml:space="preserve">и проведения </w:t>
      </w:r>
      <w:r w:rsidRPr="008441FE">
        <w:t xml:space="preserve">аттестации педагогических </w:t>
      </w:r>
      <w:r>
        <w:t>работников на соответствие занимаемой должности, подготовки к аттестации на первую и высшую квалификационные категории.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Аналитико-обобщающая деятельность по организации учета педагогических кад</w:t>
      </w:r>
      <w:r w:rsidRPr="008441FE">
        <w:softHyphen/>
        <w:t>ров ДОУ.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Осуществление планово-прогностической деятельности для организации функцио</w:t>
      </w:r>
      <w:r w:rsidRPr="008441FE">
        <w:softHyphen/>
        <w:t>нирования ДОУ в режиме развития (разработка Программы развития ДОУ</w:t>
      </w:r>
      <w:r>
        <w:t>, Основной образовательной программы дошкольного образования</w:t>
      </w:r>
      <w:r w:rsidRPr="008441FE">
        <w:t>).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proofErr w:type="spellStart"/>
      <w:r w:rsidRPr="008441FE">
        <w:t>Адаптирование</w:t>
      </w:r>
      <w:proofErr w:type="spellEnd"/>
      <w:r w:rsidRPr="008441FE">
        <w:t xml:space="preserve"> программ (вариативных), новых педагогических технологий и методик обучения в связи с обновлением содержания дошкольного образования.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Составление методических рекомендаций по использованию наиболее эффектив</w:t>
      </w:r>
      <w:r w:rsidRPr="008441FE">
        <w:softHyphen/>
        <w:t>ных методов и форм обучения и воспитания, направленных на развитие общения, игровой деятельности, познавательных процессов у детей дошколь</w:t>
      </w:r>
      <w:r w:rsidRPr="008441FE">
        <w:softHyphen/>
        <w:t>ного возраста.</w:t>
      </w:r>
    </w:p>
    <w:p w:rsidR="008441FE" w:rsidRDefault="008441FE" w:rsidP="008441FE">
      <w:pPr>
        <w:spacing w:after="0" w:line="0" w:lineRule="atLeast"/>
        <w:ind w:firstLine="709"/>
        <w:jc w:val="both"/>
        <w:rPr>
          <w:b/>
          <w:iCs/>
          <w:u w:val="single"/>
        </w:rPr>
      </w:pPr>
      <w:r w:rsidRPr="00BF6745">
        <w:rPr>
          <w:b/>
          <w:iCs/>
          <w:u w:val="single"/>
        </w:rPr>
        <w:t>Информационно-методическая деятельность:</w:t>
      </w:r>
    </w:p>
    <w:p w:rsidR="00BF6745" w:rsidRPr="00BF6745" w:rsidRDefault="00BF6745" w:rsidP="008441FE">
      <w:pPr>
        <w:spacing w:after="0" w:line="0" w:lineRule="atLeast"/>
        <w:ind w:firstLine="709"/>
        <w:jc w:val="both"/>
        <w:rPr>
          <w:u w:val="single"/>
        </w:rPr>
      </w:pP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Формирование банка педагогической, нормативно-правовой и методической информации.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Обеспечение информационных, учебно-методических и образовательных потребностей педагогических работников.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Содействие повышению квалификации педагогических работников.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 xml:space="preserve">Формирование фонда обучающих </w:t>
      </w:r>
      <w:proofErr w:type="spellStart"/>
      <w:r w:rsidRPr="008441FE">
        <w:t>киновидеофильмов</w:t>
      </w:r>
      <w:proofErr w:type="spellEnd"/>
      <w:r w:rsidRPr="008441FE"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 xml:space="preserve">Организация электронных библиотек </w:t>
      </w:r>
      <w:r>
        <w:t>(</w:t>
      </w:r>
      <w:proofErr w:type="spellStart"/>
      <w:r>
        <w:t>медиатека</w:t>
      </w:r>
      <w:proofErr w:type="spellEnd"/>
      <w:r>
        <w:t xml:space="preserve"> ДОУ) </w:t>
      </w:r>
      <w:r w:rsidRPr="008441FE">
        <w:t>учебных материалов и обеспечение доступа к ним.</w:t>
      </w:r>
    </w:p>
    <w:p w:rsidR="008441FE" w:rsidRDefault="008441FE" w:rsidP="008441FE">
      <w:pPr>
        <w:spacing w:after="0" w:line="0" w:lineRule="atLeast"/>
        <w:ind w:firstLine="709"/>
        <w:jc w:val="both"/>
      </w:pPr>
      <w:r w:rsidRPr="008441FE">
        <w:t>Обеспечение фондов учебно-методической литературы.</w:t>
      </w:r>
    </w:p>
    <w:p w:rsidR="00BF6745" w:rsidRPr="008441FE" w:rsidRDefault="00BF6745" w:rsidP="008441FE">
      <w:pPr>
        <w:spacing w:after="0" w:line="0" w:lineRule="atLeast"/>
        <w:ind w:firstLine="709"/>
        <w:jc w:val="both"/>
      </w:pPr>
    </w:p>
    <w:p w:rsidR="008441FE" w:rsidRDefault="008441FE" w:rsidP="008441FE">
      <w:pPr>
        <w:spacing w:after="0" w:line="0" w:lineRule="atLeast"/>
        <w:ind w:firstLine="709"/>
        <w:jc w:val="both"/>
        <w:rPr>
          <w:b/>
          <w:iCs/>
          <w:u w:val="single"/>
        </w:rPr>
      </w:pPr>
      <w:r w:rsidRPr="00BF6745">
        <w:rPr>
          <w:b/>
          <w:iCs/>
          <w:u w:val="single"/>
        </w:rPr>
        <w:t>Организационно-методическая деятельность:</w:t>
      </w:r>
    </w:p>
    <w:p w:rsidR="00BF6745" w:rsidRPr="00BF6745" w:rsidRDefault="00BF6745" w:rsidP="008441FE">
      <w:pPr>
        <w:spacing w:after="0" w:line="0" w:lineRule="atLeast"/>
        <w:ind w:firstLine="709"/>
        <w:jc w:val="both"/>
        <w:rPr>
          <w:u w:val="single"/>
        </w:rPr>
      </w:pP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Участие в подготовке и проведении научно-практических конференций, педагогических чтений и семинаров.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Подготовка и проведение конкурсов профессионального педагогического мастерства педагогических работников.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Сбор, обработка и анализ информации о результатах образовательной работы.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Организация постоянно действующих семинаров по инновациям.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Изучение и анализ состояния и результатов методической работы, определение направлений ее совершенствования.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lastRenderedPageBreak/>
        <w:t>Прогнозирование, планирование и организация повышения квалификации и профессиональной переподготовки педагогических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7B3F13" w:rsidRDefault="007B3F13" w:rsidP="008441FE">
      <w:pPr>
        <w:spacing w:after="0" w:line="0" w:lineRule="atLeast"/>
        <w:ind w:firstLine="709"/>
        <w:jc w:val="both"/>
        <w:rPr>
          <w:b/>
          <w:iCs/>
        </w:rPr>
      </w:pPr>
    </w:p>
    <w:p w:rsidR="008441FE" w:rsidRDefault="008441FE" w:rsidP="008441FE">
      <w:pPr>
        <w:spacing w:after="0" w:line="0" w:lineRule="atLeast"/>
        <w:ind w:firstLine="709"/>
        <w:jc w:val="both"/>
        <w:rPr>
          <w:b/>
          <w:iCs/>
          <w:u w:val="single"/>
        </w:rPr>
      </w:pPr>
      <w:r w:rsidRPr="00BF6745">
        <w:rPr>
          <w:b/>
          <w:iCs/>
          <w:u w:val="single"/>
        </w:rPr>
        <w:t>Диагностическая деятельность:</w:t>
      </w:r>
    </w:p>
    <w:p w:rsidR="00BF6745" w:rsidRPr="00BF6745" w:rsidRDefault="00BF6745" w:rsidP="008441FE">
      <w:pPr>
        <w:spacing w:after="0" w:line="0" w:lineRule="atLeast"/>
        <w:ind w:firstLine="709"/>
        <w:jc w:val="both"/>
        <w:rPr>
          <w:u w:val="single"/>
        </w:rPr>
      </w:pP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Изучение, подбор и разработка материалов по диагностике деятельности педагогов и детей.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Изучение индивидуальных особенностей ребенка в процессе его развития.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Проведение диагностики на выявление степени готовности ребенка к обучению в школе.</w:t>
      </w:r>
    </w:p>
    <w:p w:rsidR="008441FE" w:rsidRPr="008441FE" w:rsidRDefault="008441FE" w:rsidP="008441FE">
      <w:pPr>
        <w:spacing w:after="0" w:line="0" w:lineRule="atLeast"/>
        <w:ind w:firstLine="709"/>
        <w:jc w:val="both"/>
      </w:pPr>
      <w:r w:rsidRPr="008441FE"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</w:t>
      </w:r>
      <w:r w:rsidRPr="008441FE">
        <w:softHyphen/>
        <w:t>вого педагогического опыта.</w:t>
      </w:r>
    </w:p>
    <w:p w:rsidR="008441FE" w:rsidRDefault="008441FE" w:rsidP="007B3F13">
      <w:pPr>
        <w:spacing w:after="0" w:line="0" w:lineRule="atLeast"/>
        <w:ind w:firstLine="709"/>
        <w:jc w:val="both"/>
      </w:pPr>
      <w:r w:rsidRPr="008441FE">
        <w:t>Осуществление контроля и анализа состояния образовательного процесса, его качества. Оценка результативности педагогического процесса в ДОУ.</w:t>
      </w:r>
    </w:p>
    <w:p w:rsidR="007B3F13" w:rsidRDefault="007B3F13" w:rsidP="007B3F13">
      <w:pPr>
        <w:spacing w:after="0" w:line="0" w:lineRule="atLeast"/>
        <w:ind w:firstLine="709"/>
        <w:jc w:val="both"/>
      </w:pPr>
    </w:p>
    <w:p w:rsidR="00E65A25" w:rsidRPr="005B3B62" w:rsidRDefault="00590FCE" w:rsidP="005B3B62">
      <w:pPr>
        <w:jc w:val="both"/>
        <w:rPr>
          <w:b/>
        </w:rPr>
      </w:pPr>
      <w:r>
        <w:t>Представляю</w:t>
      </w:r>
      <w:r w:rsidR="009662AC">
        <w:t xml:space="preserve"> вашему вниманию эскиз-дизайн методического кабинета МБДОУ детского сада № 134, в котором я работаю 12 лет и за это время </w:t>
      </w:r>
      <w:r w:rsidR="00BA69F0">
        <w:t>методическая среда претерпела ряд существенных изменений как в содержании, так и в эстетическом оформлении.</w:t>
      </w:r>
      <w:r w:rsidR="009662AC">
        <w:t xml:space="preserve"> Все стеллажи, столы, шкафы выполнялись по индивидуальному проекту, по нашим чертежам с учетом принципа оптимального использования рабочего пространства помещения, возможности трансформации. </w:t>
      </w:r>
      <w:r w:rsidR="006018E6">
        <w:t xml:space="preserve">Осуществляя реорганизацию методического кабинета, мы опирались на </w:t>
      </w:r>
      <w:r w:rsidR="005B3B62" w:rsidRPr="005B3B62">
        <w:rPr>
          <w:b/>
        </w:rPr>
        <w:t xml:space="preserve">соответствие </w:t>
      </w:r>
      <w:r w:rsidR="006018E6" w:rsidRPr="005B3B62">
        <w:rPr>
          <w:b/>
        </w:rPr>
        <w:t xml:space="preserve"> методической среды</w:t>
      </w:r>
      <w:r w:rsidR="005B3B62" w:rsidRPr="005B3B62">
        <w:rPr>
          <w:b/>
        </w:rPr>
        <w:t xml:space="preserve"> основным функциям методического кабинета.</w:t>
      </w:r>
      <w:r w:rsidR="006018E6" w:rsidRPr="005B3B62">
        <w:rPr>
          <w:b/>
        </w:rPr>
        <w:t xml:space="preserve"> </w:t>
      </w:r>
    </w:p>
    <w:p w:rsidR="00E65A25" w:rsidRDefault="00E65A25" w:rsidP="00BF6745">
      <w:pPr>
        <w:spacing w:after="0" w:line="240" w:lineRule="auto"/>
        <w:ind w:left="360"/>
        <w:jc w:val="center"/>
        <w:rPr>
          <w:b/>
          <w:sz w:val="20"/>
          <w:szCs w:val="20"/>
          <w:u w:val="single"/>
        </w:rPr>
      </w:pPr>
      <w:r w:rsidRPr="00BF6745">
        <w:rPr>
          <w:b/>
          <w:sz w:val="20"/>
          <w:szCs w:val="20"/>
          <w:u w:val="single"/>
        </w:rPr>
        <w:t>Организация и оснащение методического кабинета строится в соответствии с его основными функциями:</w:t>
      </w:r>
    </w:p>
    <w:p w:rsidR="00BF6745" w:rsidRPr="00BF6745" w:rsidRDefault="00BF6745" w:rsidP="00BF6745">
      <w:pPr>
        <w:spacing w:after="0" w:line="240" w:lineRule="auto"/>
        <w:ind w:left="360"/>
        <w:jc w:val="center"/>
        <w:rPr>
          <w:b/>
          <w:sz w:val="20"/>
          <w:szCs w:val="20"/>
          <w:u w:val="single"/>
        </w:rPr>
      </w:pP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Организация методической работы;</w:t>
      </w: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Повышение педагогической квалификации воспитателей; совершенствование профессионального мастерства и развитие творческой активности педагогов;</w:t>
      </w: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Изучение, обобщение и распространение педагогического опыта;</w:t>
      </w: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Отбор и систематизация информации;</w:t>
      </w: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Организация оперативного ознакомления всех участников образовательного процесса с научно-методической информацией, нормативно-правовыми и другими документами;</w:t>
      </w:r>
      <w:r w:rsidR="00EE34C9">
        <w:rPr>
          <w:sz w:val="20"/>
          <w:szCs w:val="20"/>
        </w:rPr>
        <w:t xml:space="preserve"> с новыми методиками, технологиями, дидактическими пособиями;</w:t>
      </w:r>
    </w:p>
    <w:p w:rsidR="00E65A25" w:rsidRDefault="00E65A25" w:rsidP="00530BC3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Создание методической базы данных;</w:t>
      </w:r>
    </w:p>
    <w:p w:rsidR="005B3B62" w:rsidRDefault="00E65A25" w:rsidP="00BF6745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Построение образовательного процесса на основе приоритета общечеловеческих ценностей, жизни и здоровья человека, свободного развития личности</w:t>
      </w:r>
      <w:r w:rsidR="00EE34C9">
        <w:rPr>
          <w:sz w:val="20"/>
          <w:szCs w:val="20"/>
        </w:rPr>
        <w:t>; воспитания гражданственности</w:t>
      </w:r>
      <w:r w:rsidR="00AE586E">
        <w:rPr>
          <w:sz w:val="20"/>
          <w:szCs w:val="20"/>
        </w:rPr>
        <w:t>, любви к Родине.</w:t>
      </w:r>
    </w:p>
    <w:p w:rsidR="00BF6745" w:rsidRPr="00BF6745" w:rsidRDefault="00BF6745" w:rsidP="00BF6745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</w:p>
    <w:p w:rsidR="005B3B62" w:rsidRPr="00BF6745" w:rsidRDefault="00DF48BF" w:rsidP="00DF48BF">
      <w:pPr>
        <w:jc w:val="center"/>
        <w:rPr>
          <w:b/>
          <w:u w:val="single"/>
        </w:rPr>
      </w:pPr>
      <w:r>
        <w:rPr>
          <w:b/>
          <w:u w:val="single"/>
        </w:rPr>
        <w:t>Х</w:t>
      </w:r>
      <w:r w:rsidR="005B3B62" w:rsidRPr="00BF6745">
        <w:rPr>
          <w:b/>
          <w:u w:val="single"/>
        </w:rPr>
        <w:t>арактеристики методической среды:</w:t>
      </w:r>
    </w:p>
    <w:p w:rsidR="005B3B62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RPr="00530BC3">
        <w:rPr>
          <w:sz w:val="20"/>
          <w:szCs w:val="20"/>
        </w:rPr>
        <w:t>Системность в оформлении материалов</w:t>
      </w:r>
      <w:r>
        <w:rPr>
          <w:sz w:val="20"/>
          <w:szCs w:val="20"/>
        </w:rPr>
        <w:t>, у</w:t>
      </w:r>
      <w:r w:rsidRPr="00634C47">
        <w:rPr>
          <w:sz w:val="20"/>
          <w:szCs w:val="20"/>
        </w:rPr>
        <w:t>добство и доступность в использовании</w:t>
      </w:r>
      <w:r>
        <w:rPr>
          <w:sz w:val="20"/>
          <w:szCs w:val="20"/>
        </w:rPr>
        <w:t>;</w:t>
      </w:r>
    </w:p>
    <w:p w:rsidR="005B3B62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proofErr w:type="spellStart"/>
      <w:r w:rsidRPr="006018E6">
        <w:rPr>
          <w:sz w:val="20"/>
          <w:szCs w:val="20"/>
        </w:rPr>
        <w:t>Полифункциональность</w:t>
      </w:r>
      <w:proofErr w:type="spellEnd"/>
      <w:r w:rsidRPr="006018E6">
        <w:rPr>
          <w:sz w:val="20"/>
          <w:szCs w:val="20"/>
        </w:rPr>
        <w:t xml:space="preserve"> (возможность использования всеми участниками образовательного процесса)</w:t>
      </w:r>
      <w:r>
        <w:rPr>
          <w:sz w:val="20"/>
          <w:szCs w:val="20"/>
        </w:rPr>
        <w:t>;</w:t>
      </w:r>
    </w:p>
    <w:p w:rsidR="005B3B62" w:rsidRPr="00530BC3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Эргономичность, эстетика и современные тенденции </w:t>
      </w:r>
      <w:r w:rsidRPr="00530BC3">
        <w:rPr>
          <w:sz w:val="20"/>
          <w:szCs w:val="20"/>
        </w:rPr>
        <w:t>в ди</w:t>
      </w:r>
      <w:r>
        <w:rPr>
          <w:sz w:val="20"/>
          <w:szCs w:val="20"/>
        </w:rPr>
        <w:t>зайне оформления рабочего пространства;</w:t>
      </w:r>
    </w:p>
    <w:p w:rsidR="005B3B62" w:rsidRPr="00273F90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RPr="00530BC3">
        <w:rPr>
          <w:sz w:val="20"/>
          <w:szCs w:val="20"/>
        </w:rPr>
        <w:t>Соответствие потребностям педагогов ДОУ</w:t>
      </w:r>
      <w:r>
        <w:rPr>
          <w:sz w:val="20"/>
          <w:szCs w:val="20"/>
        </w:rPr>
        <w:t>, доступность ИКТ для всех участников образовательного процесса;</w:t>
      </w:r>
    </w:p>
    <w:p w:rsidR="005B3B62" w:rsidRPr="00530BC3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>Информативность, актуальность, к</w:t>
      </w:r>
      <w:r w:rsidRPr="00530BC3">
        <w:rPr>
          <w:sz w:val="20"/>
          <w:szCs w:val="20"/>
        </w:rPr>
        <w:t xml:space="preserve">ачество </w:t>
      </w:r>
      <w:r>
        <w:rPr>
          <w:sz w:val="20"/>
          <w:szCs w:val="20"/>
        </w:rPr>
        <w:t>и эстетика оформления</w:t>
      </w:r>
      <w:r w:rsidRPr="00530BC3">
        <w:rPr>
          <w:sz w:val="20"/>
          <w:szCs w:val="20"/>
        </w:rPr>
        <w:t xml:space="preserve"> материалов</w:t>
      </w:r>
      <w:r>
        <w:rPr>
          <w:sz w:val="20"/>
          <w:szCs w:val="20"/>
        </w:rPr>
        <w:t>;</w:t>
      </w:r>
    </w:p>
    <w:p w:rsidR="005B3B62" w:rsidRPr="00530BC3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r w:rsidRPr="00530BC3">
        <w:rPr>
          <w:sz w:val="20"/>
          <w:szCs w:val="20"/>
        </w:rPr>
        <w:t>Мобильность оборудования</w:t>
      </w:r>
      <w:r>
        <w:rPr>
          <w:sz w:val="20"/>
          <w:szCs w:val="20"/>
        </w:rPr>
        <w:t>, мебели, возможность трансформации пространства;</w:t>
      </w:r>
    </w:p>
    <w:p w:rsidR="005B3B62" w:rsidRDefault="005B3B62" w:rsidP="005B3B62">
      <w:pPr>
        <w:numPr>
          <w:ilvl w:val="0"/>
          <w:numId w:val="3"/>
        </w:numPr>
        <w:spacing w:after="0" w:line="240" w:lineRule="auto"/>
        <w:ind w:left="720" w:hanging="360"/>
        <w:rPr>
          <w:sz w:val="20"/>
          <w:szCs w:val="20"/>
        </w:rPr>
      </w:pPr>
      <w:proofErr w:type="spellStart"/>
      <w:r w:rsidRPr="00530BC3">
        <w:rPr>
          <w:sz w:val="20"/>
          <w:szCs w:val="20"/>
        </w:rPr>
        <w:t>Здоровьесбережение</w:t>
      </w:r>
      <w:proofErr w:type="spellEnd"/>
      <w:r>
        <w:rPr>
          <w:sz w:val="20"/>
          <w:szCs w:val="20"/>
        </w:rPr>
        <w:t xml:space="preserve"> (достаточность освещения, удобная мебель, спокойная цветовая палитра).</w:t>
      </w:r>
    </w:p>
    <w:p w:rsidR="00E65A25" w:rsidRDefault="00E65A25" w:rsidP="00D75BC1">
      <w:pPr>
        <w:spacing w:after="0" w:line="240" w:lineRule="auto"/>
        <w:rPr>
          <w:sz w:val="20"/>
          <w:szCs w:val="20"/>
        </w:rPr>
      </w:pPr>
    </w:p>
    <w:p w:rsidR="002265C1" w:rsidRDefault="002265C1" w:rsidP="004E7321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В целом, все вышеуказанные </w:t>
      </w:r>
      <w:r w:rsidR="00616B53">
        <w:rPr>
          <w:sz w:val="20"/>
          <w:szCs w:val="20"/>
        </w:rPr>
        <w:t>характеристики</w:t>
      </w:r>
      <w:r>
        <w:rPr>
          <w:sz w:val="20"/>
          <w:szCs w:val="20"/>
        </w:rPr>
        <w:t xml:space="preserve"> </w:t>
      </w:r>
      <w:r w:rsidR="00D75BC1">
        <w:rPr>
          <w:sz w:val="20"/>
          <w:szCs w:val="20"/>
        </w:rPr>
        <w:t xml:space="preserve">и учет всех функций в организации и оснащении методического кабинета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r w:rsidR="006018E6">
        <w:rPr>
          <w:sz w:val="20"/>
          <w:szCs w:val="20"/>
        </w:rPr>
        <w:t xml:space="preserve">легко </w:t>
      </w:r>
      <w:r>
        <w:rPr>
          <w:sz w:val="20"/>
          <w:szCs w:val="20"/>
        </w:rPr>
        <w:t xml:space="preserve"> проследить, ознакомившись с размещенными ниже фотографиями и аннотациями к ним. Однако, жизнь н</w:t>
      </w:r>
      <w:r w:rsidR="00590FCE">
        <w:rPr>
          <w:sz w:val="20"/>
          <w:szCs w:val="20"/>
        </w:rPr>
        <w:t xml:space="preserve">е стоит на месте, а потому есть и планы на совершенствование, на дополнительные мероприятия по реорганизации методического кабинета. В тексте эта информация выделена </w:t>
      </w:r>
      <w:r w:rsidR="00590FCE" w:rsidRPr="00590FCE">
        <w:rPr>
          <w:b/>
          <w:sz w:val="20"/>
          <w:szCs w:val="20"/>
        </w:rPr>
        <w:t>жирным шрифтом.</w:t>
      </w:r>
    </w:p>
    <w:p w:rsidR="00076A86" w:rsidRDefault="00076A86" w:rsidP="004E7321">
      <w:pPr>
        <w:spacing w:after="0" w:line="240" w:lineRule="auto"/>
        <w:jc w:val="both"/>
        <w:rPr>
          <w:b/>
          <w:sz w:val="20"/>
          <w:szCs w:val="20"/>
        </w:rPr>
      </w:pPr>
    </w:p>
    <w:p w:rsidR="00076A86" w:rsidRDefault="00076A86" w:rsidP="004E7321">
      <w:pPr>
        <w:spacing w:after="0" w:line="240" w:lineRule="auto"/>
        <w:jc w:val="both"/>
        <w:rPr>
          <w:b/>
          <w:sz w:val="20"/>
          <w:szCs w:val="20"/>
        </w:rPr>
      </w:pPr>
    </w:p>
    <w:p w:rsidR="00076A86" w:rsidRDefault="00076A86" w:rsidP="004E7321">
      <w:pPr>
        <w:spacing w:after="0" w:line="240" w:lineRule="auto"/>
        <w:jc w:val="both"/>
        <w:rPr>
          <w:b/>
          <w:sz w:val="20"/>
          <w:szCs w:val="20"/>
        </w:rPr>
      </w:pPr>
    </w:p>
    <w:p w:rsidR="00076A86" w:rsidRDefault="00076A86" w:rsidP="004E7321">
      <w:pPr>
        <w:spacing w:after="0" w:line="240" w:lineRule="auto"/>
        <w:jc w:val="both"/>
        <w:rPr>
          <w:b/>
          <w:sz w:val="20"/>
          <w:szCs w:val="20"/>
        </w:rPr>
      </w:pPr>
    </w:p>
    <w:p w:rsidR="00CE53A9" w:rsidRPr="00590FCE" w:rsidRDefault="00CE53A9" w:rsidP="004E7321">
      <w:pPr>
        <w:spacing w:after="0" w:line="240" w:lineRule="auto"/>
        <w:jc w:val="both"/>
        <w:rPr>
          <w:b/>
          <w:sz w:val="20"/>
          <w:szCs w:val="20"/>
        </w:rPr>
      </w:pPr>
    </w:p>
    <w:p w:rsidR="00BE1AA0" w:rsidRDefault="00BE1AA0" w:rsidP="00BE1AA0">
      <w:pPr>
        <w:jc w:val="both"/>
      </w:pPr>
    </w:p>
    <w:p w:rsidR="00BE1AA0" w:rsidRDefault="00BE1AA0" w:rsidP="00BE1AA0">
      <w:pPr>
        <w:jc w:val="both"/>
      </w:pPr>
      <w:r>
        <w:lastRenderedPageBreak/>
        <w:t xml:space="preserve">«Кабинет, - читаем в этимологическом словаре Макса Фасмера, - ларец с выдвижными ящиками». В </w:t>
      </w:r>
      <w:r>
        <w:rPr>
          <w:lang w:val="en-US"/>
        </w:rPr>
        <w:t>XVI</w:t>
      </w:r>
      <w:r w:rsidRPr="00742167">
        <w:t xml:space="preserve"> – </w:t>
      </w:r>
      <w:r>
        <w:rPr>
          <w:lang w:val="en-US"/>
        </w:rPr>
        <w:t>XVII</w:t>
      </w:r>
      <w:r w:rsidRPr="00742167">
        <w:t xml:space="preserve"> </w:t>
      </w:r>
      <w:r>
        <w:t xml:space="preserve">веках такими «ларцами» украшали комнаты дворцов, и стоили они целое состояние. Значение «рабочее помещение» слово приобрело только в </w:t>
      </w:r>
      <w:r>
        <w:rPr>
          <w:lang w:val="en-US"/>
        </w:rPr>
        <w:t>XVIII</w:t>
      </w:r>
      <w:r w:rsidRPr="00742167">
        <w:t xml:space="preserve"> </w:t>
      </w:r>
      <w:r>
        <w:t xml:space="preserve">веке. А в </w:t>
      </w:r>
      <w:r>
        <w:rPr>
          <w:lang w:val="en-US"/>
        </w:rPr>
        <w:t>XIX</w:t>
      </w:r>
      <w:r w:rsidRPr="00742167">
        <w:t xml:space="preserve"> </w:t>
      </w:r>
      <w:r>
        <w:t xml:space="preserve">веке стало употребляться в том значении, в котором мы используем его сейчас, - комната для интеллектуальных занятий. Кстати, примерно к этому же времени относится появление в русском языке и слова «интеллигенция». По крайней мере, «интеллигенты» </w:t>
      </w:r>
      <w:r>
        <w:rPr>
          <w:lang w:val="en-US"/>
        </w:rPr>
        <w:t>XIX</w:t>
      </w:r>
      <w:r w:rsidRPr="00742167">
        <w:t xml:space="preserve"> </w:t>
      </w:r>
      <w:r>
        <w:t xml:space="preserve">века – Л. Толстой, Ф. Достоевский, А. Чехов – писали свои бессмертные произведения в рабочих кабинетах. </w:t>
      </w:r>
    </w:p>
    <w:p w:rsidR="005C1D4D" w:rsidRPr="0095266F" w:rsidRDefault="00BE1AA0" w:rsidP="0095266F">
      <w:pPr>
        <w:jc w:val="both"/>
      </w:pPr>
      <w:r>
        <w:t xml:space="preserve">Очень надеюсь, что мой рассказ с иллюстрациями доказал, что сочетание «методический кабинет» соотносится с сочетанием «интеллигентный педагог» и предполагает, что именно здесь можно «интеллектуально поработать». </w:t>
      </w:r>
    </w:p>
    <w:sectPr w:rsidR="005C1D4D" w:rsidRPr="0095266F" w:rsidSect="00BF6745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C8"/>
    <w:multiLevelType w:val="hybridMultilevel"/>
    <w:tmpl w:val="05FC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BB0"/>
    <w:multiLevelType w:val="hybridMultilevel"/>
    <w:tmpl w:val="90626368"/>
    <w:lvl w:ilvl="0" w:tplc="F2F2B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E5C7A"/>
    <w:multiLevelType w:val="hybridMultilevel"/>
    <w:tmpl w:val="6E8C4866"/>
    <w:lvl w:ilvl="0" w:tplc="4226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2418B"/>
    <w:multiLevelType w:val="singleLevel"/>
    <w:tmpl w:val="72803632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3D077EF1"/>
    <w:multiLevelType w:val="hybridMultilevel"/>
    <w:tmpl w:val="0F46625A"/>
    <w:lvl w:ilvl="0" w:tplc="66703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30970"/>
    <w:multiLevelType w:val="singleLevel"/>
    <w:tmpl w:val="6F7C7426"/>
    <w:lvl w:ilvl="0">
      <w:start w:val="7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4FF779B0"/>
    <w:multiLevelType w:val="hybridMultilevel"/>
    <w:tmpl w:val="214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2227F"/>
    <w:multiLevelType w:val="hybridMultilevel"/>
    <w:tmpl w:val="FC6E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39B5"/>
    <w:multiLevelType w:val="multilevel"/>
    <w:tmpl w:val="222C6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9C4C48"/>
    <w:multiLevelType w:val="hybridMultilevel"/>
    <w:tmpl w:val="9F063BC6"/>
    <w:lvl w:ilvl="0" w:tplc="5812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A0"/>
    <w:rsid w:val="00076A86"/>
    <w:rsid w:val="00094A42"/>
    <w:rsid w:val="000A0040"/>
    <w:rsid w:val="000E0538"/>
    <w:rsid w:val="000E3054"/>
    <w:rsid w:val="000E3750"/>
    <w:rsid w:val="00111453"/>
    <w:rsid w:val="00113057"/>
    <w:rsid w:val="00122FD6"/>
    <w:rsid w:val="00167638"/>
    <w:rsid w:val="001A29A0"/>
    <w:rsid w:val="001C7E3E"/>
    <w:rsid w:val="0020177F"/>
    <w:rsid w:val="00221F3E"/>
    <w:rsid w:val="002265C1"/>
    <w:rsid w:val="00233258"/>
    <w:rsid w:val="00273F90"/>
    <w:rsid w:val="0028253D"/>
    <w:rsid w:val="002A3F4C"/>
    <w:rsid w:val="002D7226"/>
    <w:rsid w:val="002E7FA5"/>
    <w:rsid w:val="002F5191"/>
    <w:rsid w:val="00361ABA"/>
    <w:rsid w:val="00381690"/>
    <w:rsid w:val="003B6299"/>
    <w:rsid w:val="003C153B"/>
    <w:rsid w:val="003D0924"/>
    <w:rsid w:val="003E3055"/>
    <w:rsid w:val="004109E5"/>
    <w:rsid w:val="00413180"/>
    <w:rsid w:val="00436029"/>
    <w:rsid w:val="00441FE9"/>
    <w:rsid w:val="00475C39"/>
    <w:rsid w:val="004B2EFD"/>
    <w:rsid w:val="004D6102"/>
    <w:rsid w:val="004E1E7E"/>
    <w:rsid w:val="004E7321"/>
    <w:rsid w:val="00524514"/>
    <w:rsid w:val="00530BC3"/>
    <w:rsid w:val="00590691"/>
    <w:rsid w:val="00590FCE"/>
    <w:rsid w:val="005A3EE8"/>
    <w:rsid w:val="005B3B62"/>
    <w:rsid w:val="005C1D4D"/>
    <w:rsid w:val="005F5619"/>
    <w:rsid w:val="006018E6"/>
    <w:rsid w:val="006161BD"/>
    <w:rsid w:val="00616B53"/>
    <w:rsid w:val="00634C47"/>
    <w:rsid w:val="006360D7"/>
    <w:rsid w:val="006C53A9"/>
    <w:rsid w:val="006D1474"/>
    <w:rsid w:val="006F7DDA"/>
    <w:rsid w:val="0071041A"/>
    <w:rsid w:val="00736016"/>
    <w:rsid w:val="007B3F13"/>
    <w:rsid w:val="007B4C21"/>
    <w:rsid w:val="007C2420"/>
    <w:rsid w:val="007E0CFF"/>
    <w:rsid w:val="007E68DC"/>
    <w:rsid w:val="00806DF6"/>
    <w:rsid w:val="00823B62"/>
    <w:rsid w:val="00842AEF"/>
    <w:rsid w:val="008441FE"/>
    <w:rsid w:val="008537C6"/>
    <w:rsid w:val="008B45EA"/>
    <w:rsid w:val="008D2214"/>
    <w:rsid w:val="00910C43"/>
    <w:rsid w:val="00913BCB"/>
    <w:rsid w:val="00941DE2"/>
    <w:rsid w:val="00945ED8"/>
    <w:rsid w:val="0095266F"/>
    <w:rsid w:val="009662AC"/>
    <w:rsid w:val="00967164"/>
    <w:rsid w:val="009E5D68"/>
    <w:rsid w:val="00A41840"/>
    <w:rsid w:val="00A619B1"/>
    <w:rsid w:val="00AA6D62"/>
    <w:rsid w:val="00AD5991"/>
    <w:rsid w:val="00AE586E"/>
    <w:rsid w:val="00B04BF5"/>
    <w:rsid w:val="00B77A5F"/>
    <w:rsid w:val="00BA69F0"/>
    <w:rsid w:val="00BE0E6C"/>
    <w:rsid w:val="00BE1AA0"/>
    <w:rsid w:val="00BE62F2"/>
    <w:rsid w:val="00BF6745"/>
    <w:rsid w:val="00C5740C"/>
    <w:rsid w:val="00C64C6F"/>
    <w:rsid w:val="00CA0344"/>
    <w:rsid w:val="00CE53A9"/>
    <w:rsid w:val="00D5246B"/>
    <w:rsid w:val="00D75BC1"/>
    <w:rsid w:val="00DF2B38"/>
    <w:rsid w:val="00DF48BF"/>
    <w:rsid w:val="00E26C45"/>
    <w:rsid w:val="00E65A25"/>
    <w:rsid w:val="00E72731"/>
    <w:rsid w:val="00EE34C9"/>
    <w:rsid w:val="00EF3812"/>
    <w:rsid w:val="00F25E5D"/>
    <w:rsid w:val="00F42DC8"/>
    <w:rsid w:val="00FA1F7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A0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0"/>
    <w:pPr>
      <w:ind w:left="720"/>
      <w:contextualSpacing/>
    </w:pPr>
  </w:style>
  <w:style w:type="paragraph" w:customStyle="1" w:styleId="Tdtable-td">
    <w:name w:val="Td_table-td"/>
    <w:basedOn w:val="a"/>
    <w:rsid w:val="00AA6D62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4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EB83-8943-469D-AFBC-0EB3FA2F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MDOU 101 gruppa</cp:lastModifiedBy>
  <cp:revision>2</cp:revision>
  <cp:lastPrinted>2018-03-28T14:42:00Z</cp:lastPrinted>
  <dcterms:created xsi:type="dcterms:W3CDTF">2022-02-28T10:11:00Z</dcterms:created>
  <dcterms:modified xsi:type="dcterms:W3CDTF">2022-02-28T10:11:00Z</dcterms:modified>
</cp:coreProperties>
</file>